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973" w:rsidRDefault="00D515C8">
      <w:pPr>
        <w:rPr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4"/>
          <w:szCs w:val="24"/>
          <w:highlight w:val="cyan"/>
        </w:rPr>
        <w:t>Requirements to be discussed with TIBCO Product Managers</w:t>
      </w:r>
    </w:p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Requirement 1: </w:t>
      </w:r>
    </w:p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Y axis scale</w:t>
      </w:r>
    </w:p>
    <w:p w:rsidR="00E75973" w:rsidRDefault="00D515C8">
      <w:r>
        <w:t>I want multiple curves on the left Y axis share the same scale while other curves on the right Y axis share another same scale.</w:t>
      </w:r>
    </w:p>
    <w:p w:rsidR="00E75973" w:rsidRDefault="00D515C8">
      <w:r>
        <w:t>Spotfire allows all curves I different scales or a same scale:</w:t>
      </w:r>
    </w:p>
    <w:p w:rsidR="00E75973" w:rsidRDefault="00D515C8">
      <w:r>
        <w:rPr>
          <w:noProof/>
        </w:rPr>
        <w:drawing>
          <wp:inline distT="0" distB="0" distL="0" distR="0">
            <wp:extent cx="5943600" cy="151257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D515C8">
      <w:r>
        <w:t>The water rate cannot be compared with the oil rate since they are in different scale. The gas rate should still be in different scale.</w:t>
      </w:r>
    </w:p>
    <w:p w:rsidR="00E75973" w:rsidRDefault="00D515C8">
      <w:r>
        <w:t>What we want:</w:t>
      </w:r>
    </w:p>
    <w:p w:rsidR="00E75973" w:rsidRDefault="00D515C8">
      <w:r>
        <w:rPr>
          <w:noProof/>
        </w:rPr>
        <w:drawing>
          <wp:inline distT="0" distB="0" distL="0" distR="0">
            <wp:extent cx="5943600" cy="214566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B05796">
      <w:r>
        <w:t>Clarification: The need is to have some shared y-axis scale</w:t>
      </w:r>
      <w:r w:rsidR="007D199B">
        <w:t>s</w:t>
      </w:r>
      <w:r>
        <w:t xml:space="preserve"> and some not shared – for auto-scaling, need to specify which measures share </w:t>
      </w:r>
      <w:r w:rsidR="007D199B">
        <w:t xml:space="preserve">a </w:t>
      </w:r>
      <w:r>
        <w:t xml:space="preserve">scale. </w:t>
      </w:r>
    </w:p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Requirement 2: </w:t>
      </w:r>
    </w:p>
    <w:p w:rsidR="00E75973" w:rsidRDefault="00E75973">
      <w:pPr>
        <w:spacing w:after="0" w:line="240" w:lineRule="auto"/>
        <w:ind w:left="720"/>
      </w:pPr>
    </w:p>
    <w:p w:rsidR="00E75973" w:rsidRDefault="00D515C8">
      <w:pPr>
        <w:numPr>
          <w:ilvl w:val="0"/>
          <w:numId w:val="2"/>
        </w:numPr>
        <w:spacing w:after="0" w:line="240" w:lineRule="auto"/>
      </w:pPr>
      <w:r>
        <w:t>Uncertainty Workflows: ability to shade he uncertainty bands (p10, p50, p90 for example)</w:t>
      </w:r>
    </w:p>
    <w:p w:rsidR="00E75973" w:rsidRDefault="00E75973">
      <w:pPr>
        <w:spacing w:after="0" w:line="240" w:lineRule="auto"/>
        <w:ind w:left="720"/>
      </w:pPr>
    </w:p>
    <w:p w:rsidR="00E75973" w:rsidRDefault="00D515C8">
      <w:pPr>
        <w:spacing w:after="0" w:line="240" w:lineRule="auto"/>
        <w:ind w:left="720"/>
      </w:pPr>
      <w:r>
        <w:t xml:space="preserve">This is what is looks like in Spotfire; each solid line represents p10, p50 and p90. Ideally, we would like to shade each section below the lines accordingly. </w:t>
      </w:r>
    </w:p>
    <w:p w:rsidR="00E75973" w:rsidRDefault="00E75973">
      <w:pPr>
        <w:spacing w:after="0" w:line="240" w:lineRule="auto"/>
        <w:ind w:left="720"/>
      </w:pPr>
    </w:p>
    <w:p w:rsidR="00E75973" w:rsidRDefault="00D515C8">
      <w:pPr>
        <w:spacing w:after="0" w:line="240" w:lineRule="auto"/>
        <w:ind w:left="720"/>
      </w:pPr>
      <w:r>
        <w:rPr>
          <w:noProof/>
        </w:rPr>
        <w:lastRenderedPageBreak/>
        <w:drawing>
          <wp:inline distT="0" distB="0" distL="0" distR="0">
            <wp:extent cx="5943600" cy="266128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D515C8">
      <w:pPr>
        <w:spacing w:after="0" w:line="240" w:lineRule="auto"/>
        <w:ind w:left="720"/>
        <w:rPr>
          <w:b/>
          <w:i/>
        </w:rPr>
      </w:pPr>
      <w:r>
        <w:rPr>
          <w:b/>
          <w:i/>
        </w:rPr>
        <w:t>Like so:</w:t>
      </w:r>
    </w:p>
    <w:p w:rsidR="00E75973" w:rsidRDefault="00E75973">
      <w:pPr>
        <w:spacing w:after="0" w:line="240" w:lineRule="auto"/>
        <w:ind w:left="720"/>
      </w:pPr>
    </w:p>
    <w:p w:rsidR="00E75973" w:rsidRDefault="00D515C8">
      <w:pPr>
        <w:spacing w:after="0" w:line="240" w:lineRule="auto"/>
        <w:ind w:left="720"/>
        <w:jc w:val="center"/>
      </w:pPr>
      <w:r>
        <w:rPr>
          <w:noProof/>
        </w:rPr>
        <w:drawing>
          <wp:inline distT="0" distB="0" distL="0" distR="0">
            <wp:extent cx="5943600" cy="181927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t="2995" b="1528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E75973">
      <w:pPr>
        <w:spacing w:after="0" w:line="240" w:lineRule="auto"/>
        <w:ind w:left="720"/>
      </w:pPr>
    </w:p>
    <w:p w:rsidR="00E75973" w:rsidRDefault="00D515C8">
      <w:pPr>
        <w:spacing w:after="0" w:line="240" w:lineRule="auto"/>
        <w:ind w:left="720"/>
        <w:jc w:val="center"/>
      </w:pPr>
      <w:r>
        <w:rPr>
          <w:noProof/>
        </w:rPr>
        <w:drawing>
          <wp:inline distT="0" distB="0" distL="0" distR="0">
            <wp:extent cx="5153025" cy="15144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5973" w:rsidRDefault="00D515C8">
      <w:pPr>
        <w:spacing w:after="0" w:line="240" w:lineRule="auto"/>
        <w:ind w:left="720"/>
        <w:jc w:val="center"/>
      </w:pPr>
      <w:r>
        <w:t xml:space="preserve">Angular example </w:t>
      </w:r>
    </w:p>
    <w:p w:rsidR="00E75973" w:rsidRDefault="00D515C8">
      <w:pPr>
        <w:spacing w:after="0" w:line="240" w:lineRule="auto"/>
        <w:ind w:left="720"/>
        <w:jc w:val="center"/>
      </w:pPr>
      <w:r>
        <w:t>Need to talk to TIBCO – P1 for RE</w:t>
      </w:r>
    </w:p>
    <w:p w:rsidR="00E75973" w:rsidRDefault="00E75973"/>
    <w:p w:rsidR="00E75973" w:rsidRDefault="00E75973"/>
    <w:p w:rsidR="00E75973" w:rsidRDefault="00D515C8">
      <w:r>
        <w:rPr>
          <w:b/>
          <w:sz w:val="24"/>
          <w:szCs w:val="24"/>
        </w:rPr>
        <w:t xml:space="preserve">Requirement 3: </w:t>
      </w:r>
    </w:p>
    <w:p w:rsidR="00E75973" w:rsidRDefault="00D515C8">
      <w:pPr>
        <w:spacing w:after="0" w:line="240" w:lineRule="auto"/>
      </w:pPr>
      <w:r>
        <w:t xml:space="preserve">Need to be able to get list of data values when data has been filtered in a visualization, as can be done when values are marked.  Reference support case 1732111. </w:t>
      </w:r>
    </w:p>
    <w:p w:rsidR="00E75973" w:rsidRDefault="00D515C8">
      <w:pPr>
        <w:spacing w:after="0" w:line="240" w:lineRule="auto"/>
      </w:pPr>
      <w:r>
        <w:lastRenderedPageBreak/>
        <w:t xml:space="preserve">The requirement for this results from using a Spotfire visualization with another application:  </w:t>
      </w:r>
    </w:p>
    <w:p w:rsidR="00E75973" w:rsidRDefault="00D515C8">
      <w:pPr>
        <w:numPr>
          <w:ilvl w:val="0"/>
          <w:numId w:val="1"/>
        </w:numPr>
        <w:spacing w:after="0" w:line="240" w:lineRule="auto"/>
      </w:pPr>
      <w:r>
        <w:t>The user is displaying two applications side by side with related sources of data (a common key or filter value), containing even values from 2 to 100 (2, 4, 6, . . . , 98, 100).</w:t>
      </w:r>
    </w:p>
    <w:p w:rsidR="00E75973" w:rsidRDefault="00D515C8">
      <w:pPr>
        <w:numPr>
          <w:ilvl w:val="0"/>
          <w:numId w:val="1"/>
        </w:numPr>
        <w:spacing w:after="0" w:line="240" w:lineRule="auto"/>
      </w:pPr>
      <w:r>
        <w:t>The user applies a filter on the Spotfire visualization to only display values 80-94 (80, 82, . . .  92, 94).</w:t>
      </w:r>
    </w:p>
    <w:p w:rsidR="00E75973" w:rsidRDefault="00D515C8">
      <w:pPr>
        <w:numPr>
          <w:ilvl w:val="0"/>
          <w:numId w:val="1"/>
        </w:numPr>
        <w:spacing w:after="0" w:line="240" w:lineRule="auto"/>
      </w:pPr>
      <w:r>
        <w:t xml:space="preserve">There needs to be a way to obtain the values in the Spotfire visualization to pass them in the </w:t>
      </w:r>
      <w:proofErr w:type="spellStart"/>
      <w:r>
        <w:t>javascript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to the other application. </w:t>
      </w:r>
    </w:p>
    <w:p w:rsidR="00E75973" w:rsidRDefault="00E75973">
      <w:pPr>
        <w:spacing w:after="0" w:line="240" w:lineRule="auto"/>
      </w:pPr>
    </w:p>
    <w:p w:rsidR="00E75973" w:rsidRDefault="00D51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Requirement 4: </w:t>
      </w:r>
    </w:p>
    <w:p w:rsidR="00E75973" w:rsidRDefault="00D515C8">
      <w:pPr>
        <w:rPr>
          <w:sz w:val="24"/>
          <w:szCs w:val="24"/>
        </w:rPr>
      </w:pPr>
      <w:r>
        <w:rPr>
          <w:sz w:val="24"/>
          <w:szCs w:val="24"/>
        </w:rPr>
        <w:t xml:space="preserve">When a filter is applied using the </w:t>
      </w:r>
      <w:proofErr w:type="spellStart"/>
      <w:r>
        <w:rPr>
          <w:sz w:val="24"/>
          <w:szCs w:val="24"/>
        </w:rPr>
        <w:t>javascript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</w:t>
      </w:r>
      <w:proofErr w:type="spellEnd"/>
      <w:r>
        <w:rPr>
          <w:sz w:val="24"/>
          <w:szCs w:val="24"/>
        </w:rPr>
        <w:t>, the request fails if one or more of the values specified in the filter is not present in the Spotfire data source. Reference support case 1732181.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 Let’s imagine that we have 2 data sources, they have info about some items with columns: id, type and etc.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Data source 1 contains next ids: 1,2,3,4,5,6 – my data source (3d party app)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Data source 2 contains next ids: 3, 4, 5, 7, 8, 9 – data source that Tibco Spotfire used.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set1 set2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{1,2,3,4,5,6} and (3,4,5,7,8,9)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{ 1, 2, ( 3, 4, 5} 7, 8, 9)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both sets contain only 3,4,5 in common </w:t>
      </w:r>
    </w:p>
    <w:p w:rsidR="00E75973" w:rsidRDefault="00E75973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When I try to filter data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>•</w:t>
      </w:r>
      <w:r>
        <w:rPr>
          <w:rFonts w:ascii="Roboto" w:eastAsia="Roboto" w:hAnsi="Roboto" w:cs="Roboto"/>
          <w:b w:val="0"/>
          <w:color w:val="222222"/>
          <w:sz w:val="21"/>
          <w:szCs w:val="21"/>
        </w:rPr>
        <w:tab/>
        <w:t>1 scenario (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ListBox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 Filters):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let 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filterColumn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 = {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dataColumnName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‘id’,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dataTableName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>: ‘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dataTableName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filteringSchemeName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‘Filtering scheme’,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filterSettings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{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values: [3, 4, 5]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},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filterType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LIST_BOX_FILTER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}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this.spotFireApp.analysisDocuments[0].filtering.setFilter(filterColumn, 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spotfire.webPlayer.filteringOperation.REPLACE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); (link to JS API)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bookmarkStart w:id="2" w:name="_538wqrlx3e7h" w:colFirst="0" w:colLast="0"/>
      <w:bookmarkEnd w:id="2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As a result: it works, and on a screen I have only data with ids 3, 4, 5 </w:t>
      </w:r>
    </w:p>
    <w:p w:rsidR="00E75973" w:rsidRDefault="00E75973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>•</w:t>
      </w:r>
      <w:r>
        <w:rPr>
          <w:rFonts w:ascii="Roboto" w:eastAsia="Roboto" w:hAnsi="Roboto" w:cs="Roboto"/>
          <w:b w:val="0"/>
          <w:color w:val="222222"/>
          <w:sz w:val="21"/>
          <w:szCs w:val="21"/>
        </w:rPr>
        <w:tab/>
        <w:t>2 scenario (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ListBox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 Filters): </w:t>
      </w:r>
    </w:p>
    <w:p w:rsidR="00E75973" w:rsidRDefault="00E75973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let 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filterColumn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 = {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dataColumnName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‘id’,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dataTableName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>: ‘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dataTableName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filteringSchemeName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‘Filtering scheme’,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filterSettings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{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values: [1, 2, 3, 4, 5]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},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filterType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: LIST_BOX_FILTER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}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this.spotFireApp.analysisDocuments[0].filtering.setFilter(filterColumn, 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spotfire.webPlayer.filteringOperation.REPLACE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); (link to JS API) </w:t>
      </w:r>
    </w:p>
    <w:p w:rsidR="00E75973" w:rsidRDefault="00D515C8">
      <w:pPr>
        <w:pStyle w:val="Heading5"/>
        <w:keepNext w:val="0"/>
        <w:keepLines w:val="0"/>
        <w:shd w:val="clear" w:color="auto" w:fill="FFFFFF"/>
        <w:spacing w:before="160" w:after="160" w:line="264" w:lineRule="auto"/>
        <w:rPr>
          <w:rFonts w:ascii="Roboto" w:eastAsia="Roboto" w:hAnsi="Roboto" w:cs="Roboto"/>
          <w:b w:val="0"/>
          <w:color w:val="222222"/>
          <w:sz w:val="21"/>
          <w:szCs w:val="21"/>
        </w:rPr>
      </w:pPr>
      <w:bookmarkStart w:id="3" w:name="_v5v7f8nounoi" w:colFirst="0" w:colLast="0"/>
      <w:bookmarkEnd w:id="3"/>
      <w:r>
        <w:rPr>
          <w:rFonts w:ascii="Roboto" w:eastAsia="Roboto" w:hAnsi="Roboto" w:cs="Roboto"/>
          <w:b w:val="0"/>
          <w:color w:val="222222"/>
          <w:sz w:val="21"/>
          <w:szCs w:val="21"/>
        </w:rPr>
        <w:t xml:space="preserve">As a result: it doesn’t work, and nothing change on a screen, looks like because I try to filter by some id that does not present in TIBCO Spotfire </w:t>
      </w:r>
      <w:proofErr w:type="spellStart"/>
      <w:r>
        <w:rPr>
          <w:rFonts w:ascii="Roboto" w:eastAsia="Roboto" w:hAnsi="Roboto" w:cs="Roboto"/>
          <w:b w:val="0"/>
          <w:color w:val="222222"/>
          <w:sz w:val="21"/>
          <w:szCs w:val="21"/>
        </w:rPr>
        <w:t>datasource</w:t>
      </w:r>
      <w:proofErr w:type="spellEnd"/>
      <w:r>
        <w:rPr>
          <w:rFonts w:ascii="Roboto" w:eastAsia="Roboto" w:hAnsi="Roboto" w:cs="Roboto"/>
          <w:b w:val="0"/>
          <w:color w:val="222222"/>
          <w:sz w:val="21"/>
          <w:szCs w:val="21"/>
        </w:rPr>
        <w:t>.</w:t>
      </w:r>
    </w:p>
    <w:p w:rsidR="00E75973" w:rsidRDefault="00E75973">
      <w:pPr>
        <w:rPr>
          <w:b/>
          <w:sz w:val="24"/>
          <w:szCs w:val="24"/>
        </w:rPr>
      </w:pPr>
    </w:p>
    <w:p w:rsidR="00E75973" w:rsidRDefault="00E75973">
      <w:pPr>
        <w:spacing w:after="0" w:line="240" w:lineRule="auto"/>
        <w:ind w:left="720"/>
      </w:pPr>
    </w:p>
    <w:p w:rsidR="00E75973" w:rsidRDefault="00E75973"/>
    <w:p w:rsidR="00E75973" w:rsidRDefault="00E75973"/>
    <w:p w:rsidR="00E75973" w:rsidRDefault="00E7597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sectPr w:rsidR="00E75973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57" w:rsidRDefault="006D2057">
      <w:pPr>
        <w:spacing w:after="0" w:line="240" w:lineRule="auto"/>
      </w:pPr>
      <w:r>
        <w:separator/>
      </w:r>
    </w:p>
  </w:endnote>
  <w:endnote w:type="continuationSeparator" w:id="0">
    <w:p w:rsidR="006D2057" w:rsidRDefault="006D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73" w:rsidRDefault="00E759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57" w:rsidRDefault="006D2057">
      <w:pPr>
        <w:spacing w:after="0" w:line="240" w:lineRule="auto"/>
      </w:pPr>
      <w:r>
        <w:separator/>
      </w:r>
    </w:p>
  </w:footnote>
  <w:footnote w:type="continuationSeparator" w:id="0">
    <w:p w:rsidR="006D2057" w:rsidRDefault="006D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797F"/>
    <w:multiLevelType w:val="multilevel"/>
    <w:tmpl w:val="A4C0E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A7492"/>
    <w:multiLevelType w:val="multilevel"/>
    <w:tmpl w:val="9430A0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73"/>
    <w:rsid w:val="005D395F"/>
    <w:rsid w:val="006D2057"/>
    <w:rsid w:val="007D199B"/>
    <w:rsid w:val="00B05796"/>
    <w:rsid w:val="00D515C8"/>
    <w:rsid w:val="00E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433D1-A412-4579-821C-A05F96AA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TIBCO Software Inc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Naranjo</dc:creator>
  <cp:lastModifiedBy>Karen Naranjo</cp:lastModifiedBy>
  <cp:revision>2</cp:revision>
  <dcterms:created xsi:type="dcterms:W3CDTF">2019-05-14T19:49:00Z</dcterms:created>
  <dcterms:modified xsi:type="dcterms:W3CDTF">2019-05-14T19:49:00Z</dcterms:modified>
</cp:coreProperties>
</file>